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numPr>
          <w:ilvl w:val="0"/>
          <w:numId w:val="1"/>
        </w:numPr>
        <w:pBdr>
          <w:top w:space="0" w:sz="0" w:val="nil"/>
          <w:left w:space="0" w:sz="0" w:val="nil"/>
          <w:bottom w:space="0" w:sz="0" w:val="nil"/>
          <w:right w:space="0" w:sz="0" w:val="nil"/>
          <w:between w:space="0" w:sz="0" w:val="nil"/>
        </w:pBdr>
        <w:tabs>
          <w:tab w:val="left" w:pos="2160"/>
        </w:tabs>
        <w:spacing w:after="240" w:lineRule="auto"/>
        <w:ind w:left="0" w:firstLine="0"/>
        <w:jc w:val="center"/>
        <w:rPr/>
      </w:pPr>
      <w:bookmarkStart w:colFirst="0" w:colLast="0" w:name="_gjdgxs" w:id="0"/>
      <w:bookmarkEnd w:id="0"/>
      <w:r w:rsidDel="00000000" w:rsidR="00000000" w:rsidRPr="00000000">
        <w:rPr>
          <w:b w:val="1"/>
          <w:color w:val="000000"/>
          <w:rtl w:val="0"/>
        </w:rPr>
        <w:t xml:space="preserve">AUTHORITY’S RIGHT TO SOURCE GAS FROM THIRD PARTIES</w:t>
      </w:r>
      <w:r w:rsidDel="00000000" w:rsidR="00000000" w:rsidRPr="00000000">
        <w:rPr>
          <w:rtl w:val="0"/>
        </w:rPr>
      </w:r>
    </w:p>
    <w:p w:rsidR="00000000" w:rsidDel="00000000" w:rsidP="00000000" w:rsidRDefault="00000000" w:rsidRPr="00000000" w14:paraId="00000002">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THIRD PARTY TRANSACTIONS</w:t>
      </w:r>
      <w:r w:rsidDel="00000000" w:rsidR="00000000" w:rsidRPr="00000000">
        <w:rPr>
          <w:rtl w:val="0"/>
        </w:rPr>
      </w:r>
    </w:p>
    <w:p w:rsidR="00000000" w:rsidDel="00000000" w:rsidP="00000000" w:rsidRDefault="00000000" w:rsidRPr="00000000" w14:paraId="00000003">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Authority shall be entitled to source wholesale natural gas from third parties in order to meet the expected Customer Portfolio Demand, and (subject to Paragraph 2) the Supplier shall enter into transactions with third parties nominated by the Authority (“</w:t>
      </w:r>
      <w:r w:rsidDel="00000000" w:rsidR="00000000" w:rsidRPr="00000000">
        <w:rPr>
          <w:b w:val="1"/>
          <w:color w:val="000000"/>
          <w:rtl w:val="0"/>
        </w:rPr>
        <w:t xml:space="preserve">Nominated Third Party</w:t>
      </w:r>
      <w:r w:rsidDel="00000000" w:rsidR="00000000" w:rsidRPr="00000000">
        <w:rPr>
          <w:color w:val="000000"/>
          <w:rtl w:val="0"/>
        </w:rPr>
        <w:t xml:space="preserve">”) in order to purchase such gas (each a (“</w:t>
      </w:r>
      <w:r w:rsidDel="00000000" w:rsidR="00000000" w:rsidRPr="00000000">
        <w:rPr>
          <w:b w:val="1"/>
          <w:color w:val="000000"/>
          <w:rtl w:val="0"/>
        </w:rPr>
        <w:t xml:space="preserve">Third Party Transaction</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price payable for Third Party Transactions shall be specified by the Authority. The natural gas acquired pursuant to Third Party Transactions shall only be used by the Supplier for the purpose of supplying the Customer Portfolio. </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Any Third Party Transaction requested by the Authority will be entered into by the Trading Party (acting on behalf of the Supplier) and the Nominated Third Party.</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AUTHORISED TRADING COUNTERPARTIES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be required to enter into a Third Party Transaction if the Nominated Third Party is an Authorised Trading Counterparty.</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provide the Authority with a list of third party trading counterparties with which it agrees to enter into a Third Party Transaction (each an (“</w:t>
      </w:r>
      <w:r w:rsidDel="00000000" w:rsidR="00000000" w:rsidRPr="00000000">
        <w:rPr>
          <w:b w:val="1"/>
          <w:color w:val="000000"/>
          <w:rtl w:val="0"/>
        </w:rPr>
        <w:t xml:space="preserve">Authorised Trading Counterparty</w:t>
      </w:r>
      <w:r w:rsidDel="00000000" w:rsidR="00000000" w:rsidRPr="00000000">
        <w:rPr>
          <w:color w:val="000000"/>
          <w:rtl w:val="0"/>
        </w:rPr>
        <w:t xml:space="preserve">”)). The Authority shall be entitled to propose a third party to be added to the list of Authorised Trading Counterparties by the Supplier, subject to the Supplier's consent, which consent shall not be unreasonably delayed or withheld.</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The Supplier shall, without prejudice to Paragraph 2.2, use all reasonable endeavours to facilitate Third Party Transactions.</w:t>
      </w:r>
      <w:r w:rsidDel="00000000" w:rsidR="00000000" w:rsidRPr="00000000">
        <w:rPr>
          <w:rtl w:val="0"/>
        </w:rPr>
      </w:r>
    </w:p>
    <w:p w:rsidR="00000000" w:rsidDel="00000000" w:rsidP="00000000" w:rsidRDefault="00000000" w:rsidRPr="00000000" w14:paraId="0000000A">
      <w:pPr>
        <w:keepNext w:val="1"/>
        <w:numPr>
          <w:ilvl w:val="1"/>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b w:val="1"/>
          <w:color w:val="000000"/>
          <w:rtl w:val="0"/>
        </w:rPr>
        <w:t xml:space="preserve">PRACTICALITIES</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40" w:line="360" w:lineRule="auto"/>
        <w:ind w:left="851" w:hanging="851"/>
        <w:rPr/>
      </w:pPr>
      <w:r w:rsidDel="00000000" w:rsidR="00000000" w:rsidRPr="00000000">
        <w:rPr>
          <w:color w:val="000000"/>
          <w:rtl w:val="0"/>
        </w:rPr>
        <w:t xml:space="preserve">In relation to a proposed Third Party Transaction the Supplier shall have the option to match the prices offered by the Nominated Third Party. If a quotation is obtained from the Nominated Third Party, the Supplier shall use all reasonable endeavours to achieve the quoted price. The Authority may, at its discretion, decide whether to proceed with the proposed Third Party Transaction or whether it will enter into the Supplier's alternative transaction.</w:t>
      </w:r>
      <w:r w:rsidDel="00000000" w:rsidR="00000000" w:rsidRPr="00000000">
        <w:rPr>
          <w:rtl w:val="0"/>
        </w:rPr>
      </w:r>
    </w:p>
    <w:p w:rsidR="00000000" w:rsidDel="00000000" w:rsidP="00000000" w:rsidRDefault="00000000" w:rsidRPr="00000000" w14:paraId="0000000C">
      <w:pPr>
        <w:widowControl w:val="0"/>
        <w:numPr>
          <w:ilvl w:val="2"/>
          <w:numId w:val="1"/>
        </w:numPr>
        <w:pBdr>
          <w:top w:space="0" w:sz="0" w:val="nil"/>
          <w:left w:space="0" w:sz="0" w:val="nil"/>
          <w:bottom w:space="0" w:sz="0" w:val="nil"/>
          <w:right w:space="0" w:sz="0" w:val="nil"/>
          <w:between w:space="0" w:sz="0" w:val="nil"/>
        </w:pBdr>
        <w:spacing w:after="240" w:line="276" w:lineRule="auto"/>
        <w:ind w:left="720" w:hanging="720"/>
        <w:jc w:val="left"/>
        <w:rPr>
          <w:color w:val="000000"/>
        </w:rPr>
        <w:sectPr>
          <w:headerReference r:id="rId6" w:type="default"/>
          <w:headerReference r:id="rId7" w:type="first"/>
          <w:headerReference r:id="rId8" w:type="even"/>
          <w:footerReference r:id="rId9" w:type="default"/>
          <w:footerReference r:id="rId10" w:type="first"/>
          <w:footerReference r:id="rId11" w:type="even"/>
          <w:pgSz w:h="16838" w:w="11906"/>
          <w:pgMar w:bottom="1440" w:top="1440" w:left="1440" w:right="1440" w:header="709" w:footer="709"/>
          <w:pgNumType w:start="1"/>
        </w:sectPr>
      </w:pPr>
      <w:r w:rsidDel="00000000" w:rsidR="00000000" w:rsidRPr="00000000">
        <w:rPr>
          <w:color w:val="000000"/>
          <w:rtl w:val="0"/>
        </w:rPr>
        <w:t xml:space="preserve">If the Supplier enters enter into a Third Party Transaction, then the Supplier shall enter into a physical gas transaction with the Nominated Third Party, and shall also record an equal and opposite Transaction between the Supplier and the Authority (at the same price).</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2160"/>
        </w:tabs>
        <w:spacing w:after="240" w:lineRule="auto"/>
        <w:rPr>
          <w:color w:val="000000"/>
        </w:rPr>
      </w:pPr>
      <w:bookmarkStart w:colFirst="0" w:colLast="0" w:name="_30j0zll" w:id="1"/>
      <w:bookmarkEnd w:id="1"/>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bottom w:color="000000" w:space="1" w:sz="6" w:val="single"/>
      </w:pBdr>
      <w:jc w:val="center"/>
      <w:rPr/>
    </w:pPr>
    <w:bookmarkStart w:colFirst="0" w:colLast="0" w:name="_1fob9te" w:id="2"/>
    <w:bookmarkEnd w:id="2"/>
    <w:r w:rsidDel="00000000" w:rsidR="00000000" w:rsidRPr="00000000">
      <w:rPr>
        <w:rtl w:val="0"/>
      </w:rPr>
      <w:t xml:space="preserve">FRAMEWORK AGREEMENT FOR THE SUPPLY ENERGY AND ANCILLARY SERVICES</w:t>
    </w:r>
  </w:p>
  <w:p w:rsidR="00000000" w:rsidDel="00000000" w:rsidP="00000000" w:rsidRDefault="00000000" w:rsidRPr="00000000" w14:paraId="0000000F">
    <w:pPr>
      <w:pBdr>
        <w:bottom w:color="000000" w:space="1" w:sz="6" w:val="single"/>
      </w:pBdr>
      <w:jc w:val="center"/>
      <w:rPr/>
    </w:pPr>
    <w:r w:rsidDel="00000000" w:rsidR="00000000" w:rsidRPr="00000000">
      <w:rPr>
        <w:rtl w:val="0"/>
      </w:rPr>
    </w:r>
  </w:p>
  <w:p w:rsidR="00000000" w:rsidDel="00000000" w:rsidP="00000000" w:rsidRDefault="00000000" w:rsidRPr="00000000" w14:paraId="00000010">
    <w:pPr>
      <w:pBdr>
        <w:bottom w:color="000000" w:space="1" w:sz="6" w:val="single"/>
      </w:pBdr>
      <w:jc w:val="right"/>
      <w:rPr/>
    </w:pPr>
    <w:r w:rsidDel="00000000" w:rsidR="00000000" w:rsidRPr="00000000">
      <w:rPr>
        <w:rtl w:val="0"/>
      </w:rPr>
      <w:t xml:space="preserve">Lot 2 Gas – Schedule 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bottom w:color="000000" w:space="1" w:sz="6" w:val="single"/>
      </w:pBdr>
      <w:jc w:val="center"/>
      <w:rPr/>
    </w:pPr>
    <w:r w:rsidDel="00000000" w:rsidR="00000000" w:rsidRPr="00000000">
      <w:rPr>
        <w:rtl w:val="0"/>
      </w:rPr>
      <w:t xml:space="preserve">FRAMEWORK AGREEMENT FOR THE SUPPLY ENERGY AND ANCILLARY SERVICES</w:t>
    </w:r>
  </w:p>
  <w:p w:rsidR="00000000" w:rsidDel="00000000" w:rsidP="00000000" w:rsidRDefault="00000000" w:rsidRPr="00000000" w14:paraId="00000014">
    <w:pPr>
      <w:pBdr>
        <w:bottom w:color="000000" w:space="1" w:sz="6" w:val="single"/>
      </w:pBdr>
      <w:jc w:val="cente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Schedule %1 - "/>
      <w:lvlJc w:val="left"/>
      <w:pPr>
        <w:ind w:left="0" w:firstLine="0"/>
      </w:pPr>
      <w:rPr>
        <w:smallCaps w:val="1"/>
      </w:rPr>
    </w:lvl>
    <w:lvl w:ilvl="1">
      <w:start w:val="1"/>
      <w:numFmt w:val="decimal"/>
      <w:lvlText w:val="%2"/>
      <w:lvlJc w:val="left"/>
      <w:pPr>
        <w:ind w:left="1004" w:hanging="720"/>
      </w:pPr>
      <w:rPr/>
    </w:lvl>
    <w:lvl w:ilvl="2">
      <w:start w:val="1"/>
      <w:numFmt w:val="decimal"/>
      <w:lvlText w:val="%2.%3"/>
      <w:lvlJc w:val="left"/>
      <w:pPr>
        <w:ind w:left="720" w:hanging="720"/>
      </w:pPr>
      <w:rPr>
        <w:b w:val="0"/>
      </w:rPr>
    </w:lvl>
    <w:lvl w:ilvl="3">
      <w:start w:val="1"/>
      <w:numFmt w:val="decimal"/>
      <w:lvlText w:val="%2.%3.%4"/>
      <w:lvlJc w:val="left"/>
      <w:pPr>
        <w:ind w:left="1713" w:hanging="719"/>
      </w:pPr>
      <w:rPr/>
    </w:lvl>
    <w:lvl w:ilvl="4">
      <w:start w:val="1"/>
      <w:numFmt w:val="lowerLetter"/>
      <w:lvlText w:val="(%5)"/>
      <w:lvlJc w:val="left"/>
      <w:pPr>
        <w:ind w:left="2880" w:hanging="720"/>
      </w:pPr>
      <w:rPr/>
    </w:lvl>
    <w:lvl w:ilvl="5">
      <w:start w:val="1"/>
      <w:numFmt w:val="lowerRoman"/>
      <w:lvlText w:val="(%6)"/>
      <w:lvlJc w:val="left"/>
      <w:pPr>
        <w:ind w:left="3600" w:hanging="720"/>
      </w:pPr>
      <w:rPr/>
    </w:lvl>
    <w:lvl w:ilvl="6">
      <w:start w:val="1"/>
      <w:numFmt w:val="decimal"/>
      <w:lvlText w:val=""/>
      <w:lvlJc w:val="left"/>
      <w:pPr>
        <w:ind w:left="5957" w:hanging="851"/>
      </w:pPr>
      <w:rPr/>
    </w:lvl>
    <w:lvl w:ilvl="7">
      <w:start w:val="1"/>
      <w:numFmt w:val="decimal"/>
      <w:lvlText w:val=""/>
      <w:lvlJc w:val="left"/>
      <w:pPr>
        <w:ind w:left="6808" w:hanging="851.0000000000009"/>
      </w:pPr>
      <w:rPr/>
    </w:lvl>
    <w:lvl w:ilvl="8">
      <w:start w:val="1"/>
      <w:numFmt w:val="decimal"/>
      <w:lvlText w:val=""/>
      <w:lvlJc w:val="left"/>
      <w:pPr>
        <w:ind w:left="7659" w:hanging="851"/>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360" w:lineRule="auto"/>
    </w:pPr>
    <w:rPr>
      <w:b w:val="1"/>
      <w:u w:val="single"/>
    </w:rPr>
  </w:style>
  <w:style w:type="paragraph" w:styleId="Heading2">
    <w:name w:val="heading 2"/>
    <w:basedOn w:val="Normal"/>
    <w:next w:val="Normal"/>
    <w:pPr>
      <w:keepNext w:val="1"/>
      <w:keepLines w:val="1"/>
      <w:spacing w:after="240" w:line="360" w:lineRule="auto"/>
    </w:pPr>
    <w:rPr>
      <w:b w:val="1"/>
    </w:rPr>
  </w:style>
  <w:style w:type="paragraph" w:styleId="Heading3">
    <w:name w:val="heading 3"/>
    <w:basedOn w:val="Normal"/>
    <w:next w:val="Normal"/>
    <w:pPr>
      <w:keepNext w:val="1"/>
      <w:keepLines w:val="1"/>
      <w:spacing w:before="200" w:line="360" w:lineRule="auto"/>
    </w:pPr>
    <w:rPr>
      <w:rFonts w:ascii="Trebuchet MS" w:cs="Trebuchet MS" w:eastAsia="Trebuchet MS" w:hAnsi="Trebuchet MS"/>
      <w:b w:val="1"/>
    </w:rPr>
  </w:style>
  <w:style w:type="paragraph" w:styleId="Heading4">
    <w:name w:val="heading 4"/>
    <w:basedOn w:val="Normal"/>
    <w:next w:val="Normal"/>
    <w:pPr>
      <w:spacing w:after="240" w:line="360" w:lineRule="auto"/>
    </w:pPr>
    <w:rPr/>
  </w:style>
  <w:style w:type="paragraph" w:styleId="Heading5">
    <w:name w:val="heading 5"/>
    <w:basedOn w:val="Normal"/>
    <w:next w:val="Normal"/>
    <w:pPr>
      <w:spacing w:after="240" w:line="360" w:lineRule="auto"/>
    </w:pPr>
    <w:rPr/>
  </w:style>
  <w:style w:type="paragraph" w:styleId="Heading6">
    <w:name w:val="heading 6"/>
    <w:basedOn w:val="Normal"/>
    <w:next w:val="Normal"/>
    <w:pPr>
      <w:keepNext w:val="1"/>
      <w:keepLines w:val="1"/>
      <w:spacing w:before="200" w:line="360" w:lineRule="auto"/>
    </w:pPr>
    <w:rPr>
      <w:rFonts w:ascii="Trebuchet MS" w:cs="Trebuchet MS" w:eastAsia="Trebuchet MS" w:hAnsi="Trebuchet MS"/>
      <w:i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